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1A4D" w14:textId="77777777" w:rsidR="006B25AA" w:rsidRPr="00FA125C" w:rsidRDefault="006B25AA" w:rsidP="006B25AA">
      <w:pPr>
        <w:pStyle w:val="NoSpacing"/>
        <w:jc w:val="center"/>
        <w:rPr>
          <w:rFonts w:cs="Times New Roman"/>
          <w:szCs w:val="24"/>
        </w:rPr>
      </w:pPr>
      <w:r w:rsidRPr="00FA125C">
        <w:rPr>
          <w:rFonts w:cs="Times New Roman"/>
          <w:b/>
          <w:szCs w:val="24"/>
        </w:rPr>
        <w:t>American Bar Association</w:t>
      </w:r>
    </w:p>
    <w:p w14:paraId="53E4B42B" w14:textId="77777777" w:rsidR="006B25AA" w:rsidRPr="00FA125C" w:rsidRDefault="006B25AA" w:rsidP="006B25AA">
      <w:pPr>
        <w:pStyle w:val="NoSpacing"/>
        <w:jc w:val="center"/>
        <w:rPr>
          <w:rFonts w:cs="Times New Roman"/>
          <w:szCs w:val="24"/>
        </w:rPr>
      </w:pPr>
      <w:r w:rsidRPr="00FA125C">
        <w:rPr>
          <w:rFonts w:cs="Times New Roman"/>
          <w:b/>
          <w:szCs w:val="24"/>
        </w:rPr>
        <w:t>Section of Legal Education and Admissions to the Bar</w:t>
      </w:r>
    </w:p>
    <w:p w14:paraId="07E0B84E" w14:textId="3EB1E8F2" w:rsidR="006B25AA" w:rsidRPr="00FA125C" w:rsidRDefault="006B25AA" w:rsidP="006B25AA">
      <w:pPr>
        <w:pStyle w:val="NoSpacing"/>
        <w:jc w:val="center"/>
        <w:rPr>
          <w:rFonts w:cs="Times New Roman"/>
          <w:szCs w:val="24"/>
        </w:rPr>
      </w:pPr>
      <w:r w:rsidRPr="00FA125C">
        <w:rPr>
          <w:rFonts w:cs="Times New Roman"/>
          <w:b/>
          <w:szCs w:val="24"/>
        </w:rPr>
        <w:t xml:space="preserve">Standards for Approval of Law Schools </w:t>
      </w:r>
    </w:p>
    <w:p w14:paraId="530B4447" w14:textId="70EE05B0" w:rsidR="006B25AA" w:rsidRPr="00FA125C" w:rsidRDefault="00776EEE" w:rsidP="006B25AA">
      <w:pPr>
        <w:pStyle w:val="NoSpacing"/>
        <w:jc w:val="center"/>
        <w:rPr>
          <w:rFonts w:cs="Times New Roman"/>
          <w:szCs w:val="24"/>
        </w:rPr>
      </w:pPr>
      <w:hyperlink r:id="rId4" w:history="1">
        <w:r w:rsidRPr="003364B5">
          <w:rPr>
            <w:rStyle w:val="Hyperlink"/>
            <w:rFonts w:cs="Times New Roman"/>
            <w:szCs w:val="24"/>
          </w:rPr>
          <w:t>https://www.americanbar.org/groups/legal_education/resources/standards/</w:t>
        </w:r>
      </w:hyperlink>
      <w:r>
        <w:rPr>
          <w:rFonts w:cs="Times New Roman"/>
          <w:szCs w:val="24"/>
        </w:rPr>
        <w:t xml:space="preserve"> </w:t>
      </w:r>
      <w:r>
        <w:rPr>
          <w:rFonts w:cs="Times New Roman"/>
          <w:szCs w:val="24"/>
        </w:rPr>
        <w:br/>
      </w:r>
    </w:p>
    <w:p w14:paraId="72473D9E" w14:textId="64D307D3" w:rsidR="006B25AA" w:rsidRDefault="006B25AA" w:rsidP="006B25AA">
      <w:pPr>
        <w:pStyle w:val="NoSpacing"/>
        <w:jc w:val="center"/>
        <w:rPr>
          <w:rFonts w:cs="Times New Roman"/>
          <w:b/>
          <w:szCs w:val="24"/>
        </w:rPr>
      </w:pPr>
      <w:r w:rsidRPr="00FA125C">
        <w:rPr>
          <w:rFonts w:cs="Times New Roman"/>
          <w:b/>
          <w:szCs w:val="24"/>
        </w:rPr>
        <w:t>Chapter 3 PROGRAM OF LEGAL EDUCATION</w:t>
      </w:r>
    </w:p>
    <w:p w14:paraId="00408EE8" w14:textId="77777777" w:rsidR="00776EEE" w:rsidRDefault="00776EEE" w:rsidP="00776EEE">
      <w:pPr>
        <w:pStyle w:val="NoSpacing"/>
        <w:rPr>
          <w:rFonts w:cs="Times New Roman"/>
          <w:szCs w:val="24"/>
        </w:rPr>
      </w:pPr>
    </w:p>
    <w:p w14:paraId="3213D0D5" w14:textId="3630913D" w:rsidR="006B25AA" w:rsidRPr="00FA125C" w:rsidRDefault="006B25AA" w:rsidP="00776EEE">
      <w:pPr>
        <w:pStyle w:val="NoSpacing"/>
        <w:rPr>
          <w:rFonts w:cs="Times New Roman"/>
          <w:szCs w:val="24"/>
        </w:rPr>
      </w:pPr>
      <w:r w:rsidRPr="00FA125C">
        <w:rPr>
          <w:rFonts w:cs="Times New Roman"/>
          <w:b/>
          <w:szCs w:val="24"/>
        </w:rPr>
        <w:t>Standard 301. OBJECTIVES OF PROGRAM OF LEGAL EDUCATION</w:t>
      </w:r>
      <w:r w:rsidRPr="00FA125C">
        <w:rPr>
          <w:rFonts w:cs="Times New Roman"/>
          <w:b/>
          <w:szCs w:val="24"/>
        </w:rPr>
        <w:br/>
      </w:r>
    </w:p>
    <w:p w14:paraId="3D3F4DBA" w14:textId="77777777" w:rsidR="006B25AA" w:rsidRPr="00FA125C" w:rsidRDefault="006B25AA" w:rsidP="006B25AA">
      <w:pPr>
        <w:pStyle w:val="NoSpacing"/>
        <w:rPr>
          <w:rFonts w:cs="Times New Roman"/>
          <w:szCs w:val="24"/>
        </w:rPr>
      </w:pPr>
      <w:r w:rsidRPr="00FA125C">
        <w:rPr>
          <w:rFonts w:cs="Times New Roman"/>
          <w:szCs w:val="24"/>
        </w:rPr>
        <w:t xml:space="preserve">(a) A law school shall maintain a rigorous program of legal education that prepares its students, upon graduation, for admission to the bar and </w:t>
      </w:r>
      <w:r w:rsidRPr="00FA125C">
        <w:rPr>
          <w:rFonts w:cs="Times New Roman"/>
          <w:b/>
          <w:szCs w:val="24"/>
        </w:rPr>
        <w:t xml:space="preserve">for effective, ethical, and responsible participation as members of the legal profession. </w:t>
      </w:r>
    </w:p>
    <w:p w14:paraId="4095A3F3" w14:textId="77777777" w:rsidR="006B25AA" w:rsidRPr="00FA125C" w:rsidRDefault="006B25AA" w:rsidP="006B25AA">
      <w:pPr>
        <w:pStyle w:val="NoSpacing"/>
        <w:rPr>
          <w:rFonts w:cs="Times New Roman"/>
          <w:szCs w:val="24"/>
        </w:rPr>
      </w:pPr>
      <w:r w:rsidRPr="00FA125C">
        <w:rPr>
          <w:rFonts w:cs="Times New Roman"/>
          <w:szCs w:val="24"/>
        </w:rPr>
        <w:t xml:space="preserve">(b) A law school shall establish and publish learning outcomes designed to achieve these objectives. </w:t>
      </w:r>
    </w:p>
    <w:p w14:paraId="47BF70C7" w14:textId="77777777" w:rsidR="006B25AA" w:rsidRPr="00FA125C" w:rsidRDefault="006B25AA" w:rsidP="006B25AA">
      <w:pPr>
        <w:pStyle w:val="NoSpacing"/>
        <w:rPr>
          <w:rFonts w:cs="Times New Roman"/>
          <w:szCs w:val="24"/>
        </w:rPr>
      </w:pPr>
      <w:r w:rsidRPr="00FA125C">
        <w:rPr>
          <w:rFonts w:cs="Times New Roman"/>
          <w:szCs w:val="24"/>
        </w:rPr>
        <w:t> </w:t>
      </w:r>
    </w:p>
    <w:p w14:paraId="1656516C" w14:textId="77777777" w:rsidR="006B25AA" w:rsidRPr="00FA125C" w:rsidRDefault="006B25AA" w:rsidP="006B25AA">
      <w:pPr>
        <w:pStyle w:val="NoSpacing"/>
        <w:rPr>
          <w:rFonts w:cs="Times New Roman"/>
          <w:szCs w:val="24"/>
        </w:rPr>
      </w:pPr>
      <w:r w:rsidRPr="00FA125C">
        <w:rPr>
          <w:rFonts w:cs="Times New Roman"/>
          <w:b/>
          <w:szCs w:val="24"/>
        </w:rPr>
        <w:t>Standard 302. LEARNING OUTCOMES</w:t>
      </w:r>
    </w:p>
    <w:p w14:paraId="087E4885" w14:textId="77777777" w:rsidR="006B25AA" w:rsidRPr="00FA125C" w:rsidRDefault="006B25AA" w:rsidP="006B25AA">
      <w:pPr>
        <w:pStyle w:val="NoSpacing"/>
        <w:rPr>
          <w:rFonts w:cs="Times New Roman"/>
          <w:szCs w:val="24"/>
        </w:rPr>
      </w:pPr>
      <w:r w:rsidRPr="00FA125C">
        <w:rPr>
          <w:rFonts w:cs="Times New Roman"/>
          <w:szCs w:val="24"/>
        </w:rPr>
        <w:t> </w:t>
      </w:r>
    </w:p>
    <w:p w14:paraId="6FB0D734" w14:textId="77777777" w:rsidR="006B25AA" w:rsidRPr="00FA125C" w:rsidRDefault="006B25AA" w:rsidP="006B25AA">
      <w:pPr>
        <w:pStyle w:val="NoSpacing"/>
        <w:rPr>
          <w:rFonts w:cs="Times New Roman"/>
          <w:szCs w:val="24"/>
        </w:rPr>
      </w:pPr>
      <w:r w:rsidRPr="00FA125C">
        <w:rPr>
          <w:rFonts w:cs="Times New Roman"/>
          <w:szCs w:val="24"/>
        </w:rPr>
        <w:t>A law school shall establish learning outcomes that shall, at a minimum, include competency in the following:</w:t>
      </w:r>
    </w:p>
    <w:p w14:paraId="6E3CCB44" w14:textId="77777777" w:rsidR="006B25AA" w:rsidRPr="00FA125C" w:rsidRDefault="006B25AA" w:rsidP="006B25AA">
      <w:pPr>
        <w:pStyle w:val="NoSpacing"/>
        <w:rPr>
          <w:rFonts w:cs="Times New Roman"/>
          <w:szCs w:val="24"/>
        </w:rPr>
      </w:pPr>
      <w:r w:rsidRPr="00FA125C">
        <w:rPr>
          <w:rFonts w:cs="Times New Roman"/>
          <w:szCs w:val="24"/>
        </w:rPr>
        <w:t xml:space="preserve">(a) Knowledge and understanding of substantive and procedural law; </w:t>
      </w:r>
    </w:p>
    <w:p w14:paraId="2D4EE6C4" w14:textId="77777777" w:rsidR="006B25AA" w:rsidRPr="00FA125C" w:rsidRDefault="006B25AA" w:rsidP="006B25AA">
      <w:pPr>
        <w:pStyle w:val="NoSpacing"/>
        <w:rPr>
          <w:rFonts w:cs="Times New Roman"/>
          <w:szCs w:val="24"/>
        </w:rPr>
      </w:pPr>
      <w:r w:rsidRPr="00FA125C">
        <w:rPr>
          <w:rFonts w:cs="Times New Roman"/>
          <w:szCs w:val="24"/>
        </w:rPr>
        <w:t xml:space="preserve">(b) Legal analysis and reasoning, legal research, problem-solving, and written and oral communication in the legal context; </w:t>
      </w:r>
    </w:p>
    <w:p w14:paraId="46F7B8CE" w14:textId="77777777" w:rsidR="006B25AA" w:rsidRPr="00FA125C" w:rsidRDefault="006B25AA" w:rsidP="006B25AA">
      <w:pPr>
        <w:pStyle w:val="NoSpacing"/>
        <w:rPr>
          <w:rFonts w:cs="Times New Roman"/>
          <w:szCs w:val="24"/>
        </w:rPr>
      </w:pPr>
      <w:r w:rsidRPr="00FA125C">
        <w:rPr>
          <w:rFonts w:cs="Times New Roman"/>
          <w:szCs w:val="24"/>
        </w:rPr>
        <w:t xml:space="preserve">(c) </w:t>
      </w:r>
      <w:r w:rsidRPr="00FA125C">
        <w:rPr>
          <w:rFonts w:cs="Times New Roman"/>
          <w:b/>
          <w:szCs w:val="24"/>
        </w:rPr>
        <w:t xml:space="preserve">Exercise of proper professional and ethical responsibilities to clients and the legal system; </w:t>
      </w:r>
      <w:r w:rsidRPr="00FA125C">
        <w:rPr>
          <w:rFonts w:cs="Times New Roman"/>
          <w:szCs w:val="24"/>
        </w:rPr>
        <w:t>and</w:t>
      </w:r>
    </w:p>
    <w:p w14:paraId="28799B3E" w14:textId="77777777" w:rsidR="006B25AA" w:rsidRPr="00FA125C" w:rsidRDefault="006B25AA" w:rsidP="006B25AA">
      <w:pPr>
        <w:pStyle w:val="NoSpacing"/>
        <w:rPr>
          <w:rFonts w:cs="Times New Roman"/>
          <w:szCs w:val="24"/>
        </w:rPr>
      </w:pPr>
      <w:r w:rsidRPr="00FA125C">
        <w:rPr>
          <w:rFonts w:cs="Times New Roman"/>
          <w:szCs w:val="24"/>
        </w:rPr>
        <w:t xml:space="preserve">(d) Other professional skills needed for competent and ethical participation as a member of the legal profession. </w:t>
      </w:r>
    </w:p>
    <w:p w14:paraId="5C455C48" w14:textId="77777777" w:rsidR="006B25AA" w:rsidRPr="00FA125C" w:rsidRDefault="006B25AA" w:rsidP="006B25AA">
      <w:pPr>
        <w:pStyle w:val="NoSpacing"/>
        <w:rPr>
          <w:rFonts w:cs="Times New Roman"/>
          <w:szCs w:val="24"/>
        </w:rPr>
      </w:pPr>
      <w:r w:rsidRPr="00FA125C">
        <w:rPr>
          <w:rFonts w:cs="Times New Roman"/>
          <w:szCs w:val="24"/>
        </w:rPr>
        <w:t> </w:t>
      </w:r>
    </w:p>
    <w:p w14:paraId="6BF23049" w14:textId="77777777" w:rsidR="006B25AA" w:rsidRPr="00FA125C" w:rsidRDefault="006B25AA" w:rsidP="006B25AA">
      <w:pPr>
        <w:pStyle w:val="NoSpacing"/>
        <w:rPr>
          <w:rFonts w:cs="Times New Roman"/>
          <w:szCs w:val="24"/>
        </w:rPr>
      </w:pPr>
      <w:r w:rsidRPr="00FA125C">
        <w:rPr>
          <w:rFonts w:cs="Times New Roman"/>
          <w:i/>
          <w:szCs w:val="24"/>
        </w:rPr>
        <w:t>Interpretation 302-1</w:t>
      </w:r>
    </w:p>
    <w:p w14:paraId="45336392" w14:textId="77777777" w:rsidR="006B25AA" w:rsidRPr="00FA125C" w:rsidRDefault="006B25AA" w:rsidP="006B25AA">
      <w:pPr>
        <w:pStyle w:val="NoSpacing"/>
        <w:rPr>
          <w:rFonts w:cs="Times New Roman"/>
          <w:szCs w:val="24"/>
        </w:rPr>
      </w:pPr>
      <w:r w:rsidRPr="00FA125C">
        <w:rPr>
          <w:rFonts w:cs="Times New Roman"/>
          <w:i/>
          <w:szCs w:val="24"/>
        </w:rPr>
        <w:t>For the purposes of Standard 302(d), other professional skills are determined by the law school and may include skills such as, interviewing, counseling, negotiation, fact development and analysis, trial practice, document drafting, conflict resolution, organization and management of legal work, collaboration, cultural competency, and self-evaluation.</w:t>
      </w:r>
    </w:p>
    <w:p w14:paraId="5F7FA60A" w14:textId="77777777" w:rsidR="006B25AA" w:rsidRPr="00FA125C" w:rsidRDefault="006B25AA" w:rsidP="006B25AA">
      <w:pPr>
        <w:pStyle w:val="NoSpacing"/>
        <w:rPr>
          <w:rFonts w:cs="Times New Roman"/>
          <w:szCs w:val="24"/>
        </w:rPr>
      </w:pPr>
      <w:r w:rsidRPr="00FA125C">
        <w:rPr>
          <w:rFonts w:cs="Times New Roman"/>
          <w:szCs w:val="24"/>
        </w:rPr>
        <w:t xml:space="preserve">    </w:t>
      </w:r>
    </w:p>
    <w:p w14:paraId="3F11AAD8" w14:textId="77777777" w:rsidR="006B25AA" w:rsidRPr="00FA125C" w:rsidRDefault="006B25AA" w:rsidP="006B25AA">
      <w:pPr>
        <w:pStyle w:val="NoSpacing"/>
        <w:rPr>
          <w:rFonts w:cs="Times New Roman"/>
          <w:szCs w:val="24"/>
        </w:rPr>
      </w:pPr>
      <w:r w:rsidRPr="00FA125C">
        <w:rPr>
          <w:rFonts w:cs="Times New Roman"/>
          <w:b/>
          <w:szCs w:val="24"/>
        </w:rPr>
        <w:t>Standard 303. CURRICULUM</w:t>
      </w:r>
    </w:p>
    <w:p w14:paraId="23D3F8D0" w14:textId="77777777" w:rsidR="006B25AA" w:rsidRPr="00FA125C" w:rsidRDefault="006B25AA" w:rsidP="006B25AA">
      <w:pPr>
        <w:pStyle w:val="NoSpacing"/>
        <w:rPr>
          <w:rFonts w:cs="Times New Roman"/>
          <w:szCs w:val="24"/>
        </w:rPr>
      </w:pPr>
      <w:r w:rsidRPr="00FA125C">
        <w:rPr>
          <w:rFonts w:cs="Times New Roman"/>
          <w:szCs w:val="24"/>
        </w:rPr>
        <w:t> </w:t>
      </w:r>
    </w:p>
    <w:p w14:paraId="15FCFCF6" w14:textId="77777777" w:rsidR="006B25AA" w:rsidRPr="00FA125C" w:rsidRDefault="006B25AA" w:rsidP="006B25AA">
      <w:pPr>
        <w:pStyle w:val="NoSpacing"/>
        <w:rPr>
          <w:rFonts w:cs="Times New Roman"/>
          <w:szCs w:val="24"/>
        </w:rPr>
      </w:pPr>
      <w:r w:rsidRPr="00FA125C">
        <w:rPr>
          <w:rFonts w:cs="Times New Roman"/>
          <w:szCs w:val="24"/>
        </w:rPr>
        <w:t xml:space="preserve">(a) A law school shall offer a curriculum that requires each student to satisfactorily complete at least the following:   </w:t>
      </w:r>
      <w:r w:rsidRPr="00FA125C">
        <w:rPr>
          <w:rFonts w:cs="Times New Roman"/>
          <w:szCs w:val="24"/>
        </w:rPr>
        <w:br/>
      </w:r>
    </w:p>
    <w:p w14:paraId="25812217" w14:textId="77777777" w:rsidR="006B25AA" w:rsidRPr="00FA125C" w:rsidRDefault="006B25AA" w:rsidP="006B25AA">
      <w:pPr>
        <w:pStyle w:val="NoSpacing"/>
        <w:rPr>
          <w:rFonts w:cs="Times New Roman"/>
          <w:szCs w:val="24"/>
        </w:rPr>
      </w:pPr>
      <w:r w:rsidRPr="00FA125C">
        <w:rPr>
          <w:rFonts w:cs="Times New Roman"/>
          <w:szCs w:val="24"/>
        </w:rPr>
        <w:t xml:space="preserve">(1) </w:t>
      </w:r>
      <w:r w:rsidRPr="00FA125C">
        <w:rPr>
          <w:rFonts w:cs="Times New Roman"/>
          <w:b/>
          <w:szCs w:val="24"/>
        </w:rPr>
        <w:t>one course of at least two credit hours in professional responsibility that includes substantial instruction in the history, goals, structure, values, and responsibilities of the legal profession and its members;</w:t>
      </w:r>
      <w:r w:rsidRPr="00FA125C">
        <w:rPr>
          <w:rFonts w:cs="Times New Roman"/>
          <w:b/>
          <w:szCs w:val="24"/>
        </w:rPr>
        <w:br/>
      </w:r>
    </w:p>
    <w:p w14:paraId="66059316" w14:textId="77777777" w:rsidR="006B25AA" w:rsidRPr="00FA125C" w:rsidRDefault="006B25AA" w:rsidP="006B25AA">
      <w:pPr>
        <w:pStyle w:val="NoSpacing"/>
        <w:rPr>
          <w:rFonts w:cs="Times New Roman"/>
          <w:szCs w:val="24"/>
        </w:rPr>
      </w:pPr>
      <w:r w:rsidRPr="00FA125C">
        <w:rPr>
          <w:rFonts w:cs="Times New Roman"/>
          <w:szCs w:val="24"/>
        </w:rPr>
        <w:t xml:space="preserve">(2) one writing experience in the first year and at least one additional writing experience after the first year, both of which are faculty supervised; and </w:t>
      </w:r>
      <w:r w:rsidRPr="00FA125C">
        <w:rPr>
          <w:rFonts w:cs="Times New Roman"/>
          <w:szCs w:val="24"/>
        </w:rPr>
        <w:br/>
      </w:r>
    </w:p>
    <w:p w14:paraId="7EE89ECF" w14:textId="21932D60" w:rsidR="006B25AA" w:rsidRPr="00FA125C" w:rsidRDefault="006B25AA" w:rsidP="006B25AA">
      <w:pPr>
        <w:pStyle w:val="NoSpacing"/>
        <w:rPr>
          <w:rFonts w:cs="Times New Roman"/>
          <w:szCs w:val="24"/>
        </w:rPr>
      </w:pPr>
      <w:r w:rsidRPr="00FA125C">
        <w:rPr>
          <w:rFonts w:cs="Times New Roman"/>
          <w:szCs w:val="24"/>
        </w:rPr>
        <w:lastRenderedPageBreak/>
        <w:t>  (3) one or more experiential course(s) totaling at least six credit hours. An experiential course must be a simulation course, a law clinic, or a field placement</w:t>
      </w:r>
      <w:r w:rsidR="00AF3C8C">
        <w:rPr>
          <w:rFonts w:cs="Times New Roman"/>
          <w:szCs w:val="24"/>
        </w:rPr>
        <w:t>, as defined in Standard 304.</w:t>
      </w:r>
    </w:p>
    <w:p w14:paraId="56501C25" w14:textId="77777777" w:rsidR="006B25AA" w:rsidRPr="00FA125C" w:rsidRDefault="006B25AA" w:rsidP="006B25AA">
      <w:pPr>
        <w:pStyle w:val="NoSpacing"/>
        <w:rPr>
          <w:rFonts w:cs="Times New Roman"/>
          <w:szCs w:val="24"/>
        </w:rPr>
      </w:pPr>
      <w:r w:rsidRPr="00FA125C">
        <w:rPr>
          <w:rFonts w:cs="Times New Roman"/>
          <w:szCs w:val="24"/>
        </w:rPr>
        <w:t> </w:t>
      </w:r>
    </w:p>
    <w:p w14:paraId="5A54ACDA" w14:textId="26408E4C" w:rsidR="006B25AA" w:rsidRPr="00FA125C" w:rsidRDefault="006B25AA" w:rsidP="006B25AA">
      <w:pPr>
        <w:pStyle w:val="NoSpacing"/>
        <w:rPr>
          <w:rFonts w:cs="Times New Roman"/>
          <w:szCs w:val="24"/>
        </w:rPr>
      </w:pPr>
      <w:r w:rsidRPr="00FA125C">
        <w:rPr>
          <w:rFonts w:cs="Times New Roman"/>
          <w:szCs w:val="24"/>
        </w:rPr>
        <w:t>(b)</w:t>
      </w:r>
      <w:r w:rsidR="00AF3C8C">
        <w:rPr>
          <w:rFonts w:cs="Times New Roman"/>
          <w:szCs w:val="24"/>
        </w:rPr>
        <w:t xml:space="preserve"> </w:t>
      </w:r>
      <w:r w:rsidRPr="00FA125C">
        <w:rPr>
          <w:rFonts w:cs="Times New Roman"/>
          <w:szCs w:val="24"/>
        </w:rPr>
        <w:t xml:space="preserve">A law school shall provide substantial opportunities to students for: </w:t>
      </w:r>
    </w:p>
    <w:p w14:paraId="7D78193C" w14:textId="77777777" w:rsidR="006B25AA" w:rsidRPr="00FA125C" w:rsidRDefault="006B25AA" w:rsidP="006B25AA">
      <w:pPr>
        <w:pStyle w:val="NoSpacing"/>
        <w:rPr>
          <w:rFonts w:cs="Times New Roman"/>
          <w:szCs w:val="24"/>
        </w:rPr>
      </w:pPr>
      <w:r w:rsidRPr="00FA125C">
        <w:rPr>
          <w:rFonts w:cs="Times New Roman"/>
          <w:szCs w:val="24"/>
        </w:rPr>
        <w:t>(1) law clinics or field placement(s); and</w:t>
      </w:r>
    </w:p>
    <w:p w14:paraId="036CFE2C" w14:textId="77777777" w:rsidR="001B0275" w:rsidRDefault="006B25AA" w:rsidP="006B25AA">
      <w:pPr>
        <w:pStyle w:val="NoSpacing"/>
        <w:rPr>
          <w:rFonts w:cs="Times New Roman"/>
          <w:szCs w:val="24"/>
        </w:rPr>
      </w:pPr>
      <w:r w:rsidRPr="00FA125C">
        <w:rPr>
          <w:rFonts w:cs="Times New Roman"/>
          <w:szCs w:val="24"/>
        </w:rPr>
        <w:t>(2) student participation in pro bono legal services, including law-related public service activities.</w:t>
      </w:r>
    </w:p>
    <w:p w14:paraId="075F9CB4" w14:textId="77777777" w:rsidR="001B0275" w:rsidRDefault="001B0275" w:rsidP="006B25AA">
      <w:pPr>
        <w:pStyle w:val="NoSpacing"/>
        <w:rPr>
          <w:rFonts w:cs="Times New Roman"/>
          <w:szCs w:val="24"/>
        </w:rPr>
      </w:pPr>
    </w:p>
    <w:p w14:paraId="7A0B5A23" w14:textId="77777777" w:rsidR="001B0275" w:rsidRPr="001B0275" w:rsidRDefault="001B0275" w:rsidP="006B25AA">
      <w:pPr>
        <w:pStyle w:val="NoSpacing"/>
        <w:rPr>
          <w:rFonts w:cs="Times New Roman"/>
          <w:b/>
          <w:szCs w:val="24"/>
        </w:rPr>
      </w:pPr>
      <w:r w:rsidRPr="001B0275">
        <w:rPr>
          <w:rFonts w:cs="Times New Roman"/>
          <w:b/>
          <w:szCs w:val="24"/>
        </w:rPr>
        <w:t>Standard 314. ASSESSMENT OF STUDENT LEARNING</w:t>
      </w:r>
    </w:p>
    <w:p w14:paraId="208DEC20" w14:textId="77777777" w:rsidR="006B25AA" w:rsidRPr="00FA125C" w:rsidRDefault="006B25AA" w:rsidP="006B25AA">
      <w:pPr>
        <w:pStyle w:val="NoSpacing"/>
        <w:rPr>
          <w:rFonts w:cs="Times New Roman"/>
          <w:szCs w:val="24"/>
        </w:rPr>
      </w:pPr>
      <w:r w:rsidRPr="00FA125C">
        <w:rPr>
          <w:rFonts w:cs="Times New Roman"/>
          <w:szCs w:val="24"/>
        </w:rPr>
        <w:t> </w:t>
      </w:r>
    </w:p>
    <w:p w14:paraId="7FA84164" w14:textId="159FCBF5" w:rsidR="006B25AA" w:rsidRPr="00FA125C" w:rsidRDefault="006B25AA" w:rsidP="006B25AA">
      <w:pPr>
        <w:pStyle w:val="NoSpacing"/>
        <w:rPr>
          <w:rFonts w:cs="Times New Roman"/>
          <w:szCs w:val="24"/>
        </w:rPr>
      </w:pPr>
      <w:r w:rsidRPr="00FA125C">
        <w:rPr>
          <w:rFonts w:cs="Times New Roman"/>
          <w:szCs w:val="24"/>
        </w:rPr>
        <w:t xml:space="preserve">A law school shall utilize both formative and summative assessment methods in its curriculum to measure and improve student learning and provide meaningful feedback to students. </w:t>
      </w:r>
    </w:p>
    <w:p w14:paraId="74E19B40" w14:textId="77777777" w:rsidR="006B25AA" w:rsidRPr="00FA125C" w:rsidRDefault="006B25AA" w:rsidP="006B25AA">
      <w:pPr>
        <w:pStyle w:val="NoSpacing"/>
        <w:rPr>
          <w:rFonts w:cs="Times New Roman"/>
          <w:szCs w:val="24"/>
        </w:rPr>
      </w:pPr>
      <w:r w:rsidRPr="00FA125C">
        <w:rPr>
          <w:rFonts w:cs="Times New Roman"/>
          <w:szCs w:val="24"/>
        </w:rPr>
        <w:t> </w:t>
      </w:r>
    </w:p>
    <w:p w14:paraId="0E0DE542" w14:textId="77777777" w:rsidR="006B25AA" w:rsidRPr="00FA125C" w:rsidRDefault="006B25AA" w:rsidP="006B25AA">
      <w:pPr>
        <w:pStyle w:val="NoSpacing"/>
        <w:rPr>
          <w:rFonts w:cs="Times New Roman"/>
          <w:szCs w:val="24"/>
        </w:rPr>
      </w:pPr>
      <w:r w:rsidRPr="00FA125C">
        <w:rPr>
          <w:rFonts w:cs="Times New Roman"/>
          <w:b/>
          <w:szCs w:val="24"/>
        </w:rPr>
        <w:t>Standard 315. EVALUATION OF PROGRAM OF LEGAL EDUCATION, LEARNING OUTCOMES, AND ASSESSMENT METHODS</w:t>
      </w:r>
    </w:p>
    <w:p w14:paraId="4620C3F5" w14:textId="77777777" w:rsidR="006B25AA" w:rsidRPr="00FA125C" w:rsidRDefault="006B25AA" w:rsidP="006B25AA">
      <w:pPr>
        <w:pStyle w:val="NoSpacing"/>
        <w:rPr>
          <w:rFonts w:cs="Times New Roman"/>
          <w:szCs w:val="24"/>
        </w:rPr>
      </w:pPr>
      <w:r w:rsidRPr="00FA125C">
        <w:rPr>
          <w:rFonts w:cs="Times New Roman"/>
          <w:szCs w:val="24"/>
        </w:rPr>
        <w:t> </w:t>
      </w:r>
    </w:p>
    <w:p w14:paraId="720A6392" w14:textId="77777777" w:rsidR="006B25AA" w:rsidRPr="00FA125C" w:rsidRDefault="006B25AA" w:rsidP="006B25AA">
      <w:pPr>
        <w:pStyle w:val="NoSpacing"/>
        <w:rPr>
          <w:rFonts w:cs="Times New Roman"/>
          <w:szCs w:val="24"/>
        </w:rPr>
      </w:pPr>
      <w:r w:rsidRPr="00FA125C">
        <w:rPr>
          <w:rFonts w:cs="Times New Roman"/>
          <w:szCs w:val="24"/>
        </w:rPr>
        <w:t>The dean and the faculty of a law school shall conduct ongoing evaluation of the law school's program of legal education, learning outcomes, and assessment methods; and shall use the results of this evaluation to determine the degree of student attainment of competency in the learning outcomes and to make appropriate changes to improve the curriculum.</w:t>
      </w:r>
    </w:p>
    <w:p w14:paraId="139AC284" w14:textId="77777777" w:rsidR="006B25AA" w:rsidRPr="00FA125C" w:rsidRDefault="006B25AA" w:rsidP="006B25AA">
      <w:pPr>
        <w:pStyle w:val="NoSpacing"/>
        <w:rPr>
          <w:rFonts w:cs="Times New Roman"/>
          <w:szCs w:val="24"/>
        </w:rPr>
      </w:pPr>
      <w:r w:rsidRPr="00FA125C">
        <w:rPr>
          <w:rFonts w:cs="Times New Roman"/>
          <w:szCs w:val="24"/>
        </w:rPr>
        <w:t> </w:t>
      </w:r>
    </w:p>
    <w:p w14:paraId="3324F9C7" w14:textId="77777777" w:rsidR="00A9338F" w:rsidRPr="00FA125C" w:rsidRDefault="00776EEE" w:rsidP="006B25AA">
      <w:pPr>
        <w:pStyle w:val="NoSpacing"/>
        <w:rPr>
          <w:rFonts w:cs="Times New Roman"/>
          <w:szCs w:val="24"/>
        </w:rPr>
      </w:pPr>
    </w:p>
    <w:sectPr w:rsidR="00A9338F" w:rsidRPr="00FA1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AA"/>
    <w:rsid w:val="001B0275"/>
    <w:rsid w:val="006B25AA"/>
    <w:rsid w:val="00776EEE"/>
    <w:rsid w:val="00AF3C8C"/>
    <w:rsid w:val="00B964EC"/>
    <w:rsid w:val="00BE5CDC"/>
    <w:rsid w:val="00C3302E"/>
    <w:rsid w:val="00FA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73E7"/>
  <w15:chartTrackingRefBased/>
  <w15:docId w15:val="{A304FF00-DD20-41AB-BAEE-A8B8FDEF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CDC"/>
    <w:pPr>
      <w:spacing w:after="0" w:line="240" w:lineRule="auto"/>
    </w:pPr>
    <w:rPr>
      <w:rFonts w:ascii="Times New Roman" w:hAnsi="Times New Roman"/>
      <w:sz w:val="24"/>
    </w:rPr>
  </w:style>
  <w:style w:type="character" w:styleId="Hyperlink">
    <w:name w:val="Hyperlink"/>
    <w:basedOn w:val="DefaultParagraphFont"/>
    <w:uiPriority w:val="99"/>
    <w:unhideWhenUsed/>
    <w:rsid w:val="00776EEE"/>
    <w:rPr>
      <w:color w:val="0563C1" w:themeColor="hyperlink"/>
      <w:u w:val="single"/>
    </w:rPr>
  </w:style>
  <w:style w:type="character" w:styleId="UnresolvedMention">
    <w:name w:val="Unresolved Mention"/>
    <w:basedOn w:val="DefaultParagraphFont"/>
    <w:uiPriority w:val="99"/>
    <w:semiHidden/>
    <w:unhideWhenUsed/>
    <w:rsid w:val="00776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87942">
      <w:bodyDiv w:val="1"/>
      <w:marLeft w:val="0"/>
      <w:marRight w:val="0"/>
      <w:marTop w:val="0"/>
      <w:marBottom w:val="0"/>
      <w:divBdr>
        <w:top w:val="none" w:sz="0" w:space="0" w:color="auto"/>
        <w:left w:val="none" w:sz="0" w:space="0" w:color="auto"/>
        <w:bottom w:val="none" w:sz="0" w:space="0" w:color="auto"/>
        <w:right w:val="none" w:sz="0" w:space="0" w:color="auto"/>
      </w:divBdr>
      <w:divsChild>
        <w:div w:id="258564470">
          <w:marLeft w:val="0"/>
          <w:marRight w:val="0"/>
          <w:marTop w:val="0"/>
          <w:marBottom w:val="0"/>
          <w:divBdr>
            <w:top w:val="none" w:sz="0" w:space="0" w:color="auto"/>
            <w:left w:val="none" w:sz="0" w:space="0" w:color="auto"/>
            <w:bottom w:val="none" w:sz="0" w:space="0" w:color="auto"/>
            <w:right w:val="none" w:sz="0" w:space="0" w:color="auto"/>
          </w:divBdr>
        </w:div>
      </w:divsChild>
    </w:div>
    <w:div w:id="835994869">
      <w:bodyDiv w:val="1"/>
      <w:marLeft w:val="0"/>
      <w:marRight w:val="0"/>
      <w:marTop w:val="0"/>
      <w:marBottom w:val="0"/>
      <w:divBdr>
        <w:top w:val="none" w:sz="0" w:space="0" w:color="auto"/>
        <w:left w:val="none" w:sz="0" w:space="0" w:color="auto"/>
        <w:bottom w:val="none" w:sz="0" w:space="0" w:color="auto"/>
        <w:right w:val="none" w:sz="0" w:space="0" w:color="auto"/>
      </w:divBdr>
      <w:divsChild>
        <w:div w:id="173345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ericanbar.org/groups/legal_education/resource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Georgia State University - College of Law</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 Cunningham</dc:creator>
  <cp:keywords/>
  <dc:description/>
  <cp:lastModifiedBy>Clark D Cunningham</cp:lastModifiedBy>
  <cp:revision>3</cp:revision>
  <dcterms:created xsi:type="dcterms:W3CDTF">2022-01-04T18:53:00Z</dcterms:created>
  <dcterms:modified xsi:type="dcterms:W3CDTF">2022-01-04T18:55:00Z</dcterms:modified>
</cp:coreProperties>
</file>